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сельского поселения </w:t>
      </w:r>
      <w:r w:rsidR="008C2111">
        <w:rPr>
          <w:rFonts w:ascii="Times New Roman" w:eastAsia="Times New Roman" w:hAnsi="Times New Roman" w:cs="Times New Roman"/>
          <w:bCs/>
          <w:sz w:val="28"/>
          <w:szCs w:val="28"/>
        </w:rPr>
        <w:t>Первомайский</w:t>
      </w:r>
      <w:r w:rsidR="00472E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w:t>
      </w:r>
      <w:smartTag w:uri="urn:schemas-microsoft-com:office:smarttags" w:element="date">
        <w:smartTagPr>
          <w:attr w:name="Year" w:val="2003"/>
          <w:attr w:name="Day" w:val="6"/>
          <w:attr w:name="Month" w:val="10"/>
          <w:attr w:name="ls" w:val="trans"/>
        </w:smartTagPr>
        <w:r w:rsidRPr="00A63135">
          <w:rPr>
            <w:rFonts w:ascii="Times New Roman" w:eastAsia="Arial Unicode MS" w:hAnsi="Times New Roman" w:cs="Times New Roman"/>
            <w:sz w:val="28"/>
            <w:szCs w:val="28"/>
          </w:rPr>
          <w:t>6 октября 2003 года</w:t>
        </w:r>
      </w:smartTag>
      <w:r w:rsidRPr="00A63135">
        <w:rPr>
          <w:rFonts w:ascii="Times New Roman" w:eastAsia="Arial Unicode MS" w:hAnsi="Times New Roman" w:cs="Times New Roman"/>
          <w:sz w:val="28"/>
          <w:szCs w:val="28"/>
        </w:rPr>
        <w:t xml:space="preserve">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r w:rsidR="008C2111">
        <w:rPr>
          <w:rFonts w:ascii="Times New Roman" w:eastAsia="Times New Roman" w:hAnsi="Times New Roman" w:cs="Times New Roman"/>
          <w:bCs/>
          <w:sz w:val="28"/>
          <w:szCs w:val="28"/>
        </w:rPr>
        <w:t>Первомайский</w:t>
      </w:r>
      <w:r w:rsidR="008C2111"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 xml:space="preserve">сельсовет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 </w:t>
      </w:r>
      <w:r w:rsidR="008C2111">
        <w:rPr>
          <w:rFonts w:ascii="Times New Roman" w:eastAsia="Times New Roman" w:hAnsi="Times New Roman" w:cs="Times New Roman"/>
          <w:bCs/>
          <w:sz w:val="28"/>
          <w:szCs w:val="28"/>
        </w:rPr>
        <w:t>Первомайский</w:t>
      </w:r>
      <w:r w:rsidR="008C2111">
        <w:rPr>
          <w:rFonts w:ascii="Times New Roman" w:eastAsia="Arial Unicode MS" w:hAnsi="Times New Roman" w:cs="Times New Roman"/>
          <w:sz w:val="28"/>
          <w:szCs w:val="28"/>
        </w:rPr>
        <w:t xml:space="preserve"> </w:t>
      </w:r>
      <w:r w:rsidR="00095D5C">
        <w:rPr>
          <w:rFonts w:ascii="Times New Roman" w:eastAsia="Arial Unicode MS" w:hAnsi="Times New Roman" w:cs="Times New Roman"/>
          <w:sz w:val="28"/>
          <w:szCs w:val="28"/>
        </w:rPr>
        <w:t xml:space="preserve">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r w:rsidR="008C2111">
        <w:rPr>
          <w:rFonts w:ascii="Times New Roman" w:eastAsia="Times New Roman" w:hAnsi="Times New Roman" w:cs="Times New Roman"/>
          <w:bCs/>
          <w:sz w:val="28"/>
          <w:szCs w:val="28"/>
        </w:rPr>
        <w:t>Первомайский</w:t>
      </w:r>
      <w:r w:rsidR="008C2111">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Приложение к</w:t>
      </w:r>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r w:rsidR="008C2111">
        <w:rPr>
          <w:rFonts w:ascii="Times New Roman" w:eastAsia="Times New Roman" w:hAnsi="Times New Roman" w:cs="Times New Roman"/>
          <w:bCs/>
          <w:sz w:val="28"/>
          <w:szCs w:val="28"/>
        </w:rPr>
        <w:t>Первомайский</w:t>
      </w:r>
      <w:bookmarkStart w:id="0" w:name="_GoBack"/>
      <w:bookmarkEnd w:id="0"/>
      <w:r w:rsidR="00C674DD" w:rsidRPr="00465C0E">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5032B7" w:rsidRPr="005032B7" w:rsidRDefault="005032B7" w:rsidP="002F778A">
      <w:pPr>
        <w:ind w:firstLine="851"/>
        <w:jc w:val="center"/>
        <w:rPr>
          <w:rFonts w:ascii="Times New Roman" w:hAnsi="Times New Roman" w:cs="Times New Roman"/>
          <w:b/>
        </w:rPr>
      </w:pPr>
    </w:p>
    <w:p w:rsidR="005032B7" w:rsidRPr="005032B7" w:rsidRDefault="005032B7" w:rsidP="002F778A">
      <w:pPr>
        <w:ind w:firstLine="851"/>
        <w:jc w:val="cente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м2)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(от 600 до 1200 м2)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 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одно-двухквартирного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м2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диапазоне частот 30 кГц - 300 МГц - по эффективным значениям напряженности электрического поля (Е), В/м;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72E43"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 xml:space="preserve">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95D5C"/>
    <w:rsid w:val="000C170D"/>
    <w:rsid w:val="000C1A4E"/>
    <w:rsid w:val="000C1B28"/>
    <w:rsid w:val="000C27F7"/>
    <w:rsid w:val="000C3784"/>
    <w:rsid w:val="000D7632"/>
    <w:rsid w:val="000E4363"/>
    <w:rsid w:val="000F3353"/>
    <w:rsid w:val="000F6AB2"/>
    <w:rsid w:val="00123DF8"/>
    <w:rsid w:val="00155A47"/>
    <w:rsid w:val="001C5C2A"/>
    <w:rsid w:val="002D062D"/>
    <w:rsid w:val="002F778A"/>
    <w:rsid w:val="003255AC"/>
    <w:rsid w:val="003866D4"/>
    <w:rsid w:val="003950F8"/>
    <w:rsid w:val="003C3F3D"/>
    <w:rsid w:val="003C69BD"/>
    <w:rsid w:val="0041007B"/>
    <w:rsid w:val="004150DF"/>
    <w:rsid w:val="004307A9"/>
    <w:rsid w:val="0044223E"/>
    <w:rsid w:val="004553B9"/>
    <w:rsid w:val="004609EB"/>
    <w:rsid w:val="00462597"/>
    <w:rsid w:val="0046503F"/>
    <w:rsid w:val="00465C0E"/>
    <w:rsid w:val="00472E43"/>
    <w:rsid w:val="005032B7"/>
    <w:rsid w:val="005E0C88"/>
    <w:rsid w:val="00601251"/>
    <w:rsid w:val="00607368"/>
    <w:rsid w:val="00621582"/>
    <w:rsid w:val="006251D0"/>
    <w:rsid w:val="007B4A0A"/>
    <w:rsid w:val="007B7A49"/>
    <w:rsid w:val="007C468D"/>
    <w:rsid w:val="00884C5D"/>
    <w:rsid w:val="008C2111"/>
    <w:rsid w:val="009427B1"/>
    <w:rsid w:val="009435E2"/>
    <w:rsid w:val="009B43D0"/>
    <w:rsid w:val="009E1292"/>
    <w:rsid w:val="00A111B4"/>
    <w:rsid w:val="00A67C8A"/>
    <w:rsid w:val="00AA464C"/>
    <w:rsid w:val="00B53419"/>
    <w:rsid w:val="00B74705"/>
    <w:rsid w:val="00B83241"/>
    <w:rsid w:val="00BA0146"/>
    <w:rsid w:val="00BD7D42"/>
    <w:rsid w:val="00C14020"/>
    <w:rsid w:val="00C41395"/>
    <w:rsid w:val="00C44C17"/>
    <w:rsid w:val="00C50B75"/>
    <w:rsid w:val="00C610BA"/>
    <w:rsid w:val="00C674DD"/>
    <w:rsid w:val="00C726CA"/>
    <w:rsid w:val="00C86A37"/>
    <w:rsid w:val="00CD531C"/>
    <w:rsid w:val="00D4057F"/>
    <w:rsid w:val="00DA35B5"/>
    <w:rsid w:val="00DC1EDB"/>
    <w:rsid w:val="00E0620A"/>
    <w:rsid w:val="00E2066D"/>
    <w:rsid w:val="00E66E57"/>
    <w:rsid w:val="00EE06EE"/>
    <w:rsid w:val="00F67F5C"/>
    <w:rsid w:val="00F75E58"/>
    <w:rsid w:val="00F77795"/>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3B90-53B2-4AB1-B1B2-641745BB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196</Pages>
  <Words>82252</Words>
  <Characters>468837</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2</cp:revision>
  <dcterms:created xsi:type="dcterms:W3CDTF">2015-08-05T03:20:00Z</dcterms:created>
  <dcterms:modified xsi:type="dcterms:W3CDTF">2015-08-05T03:20:00Z</dcterms:modified>
</cp:coreProperties>
</file>