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0456" w:type="dxa"/>
        <w:tblLayout w:type="fixed"/>
        <w:tblLook w:val="0000"/>
      </w:tblPr>
      <w:tblGrid>
        <w:gridCol w:w="4678"/>
        <w:gridCol w:w="1417"/>
        <w:gridCol w:w="4361"/>
      </w:tblGrid>
      <w:tr w:rsidR="00781FCB" w:rsidTr="00350923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81FCB" w:rsidRPr="00FC2CB0" w:rsidRDefault="00781FCB" w:rsidP="00350923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781FCB" w:rsidRDefault="00781FCB" w:rsidP="00350923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781FCB" w:rsidRDefault="00781FCB" w:rsidP="00350923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781FCB" w:rsidRDefault="00781FCB" w:rsidP="00350923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781FCB" w:rsidRDefault="00781FCB" w:rsidP="00350923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781FCB" w:rsidRDefault="00781FCB" w:rsidP="00350923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81FCB" w:rsidRDefault="00781FCB" w:rsidP="00350923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EB6882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11772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81FCB" w:rsidRPr="00876F87" w:rsidRDefault="00781FCB" w:rsidP="00350923">
            <w:pPr>
              <w:pStyle w:val="BodyText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876F87"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781FCB" w:rsidRPr="00876F87" w:rsidRDefault="00781FCB" w:rsidP="00350923">
            <w:pPr>
              <w:pStyle w:val="BodyText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876F87"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781FCB" w:rsidRPr="00876F87" w:rsidRDefault="00781FCB" w:rsidP="00350923">
            <w:pPr>
              <w:pStyle w:val="BodyText"/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 w:rsidRPr="00876F87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РЕСПУБЛИКА БАШКОРТОСТАН</w:t>
            </w:r>
          </w:p>
        </w:tc>
      </w:tr>
    </w:tbl>
    <w:p w:rsidR="00781FCB" w:rsidRPr="00876F87" w:rsidRDefault="00781FCB" w:rsidP="00350923">
      <w:pPr>
        <w:jc w:val="center"/>
        <w:rPr>
          <w:rFonts w:ascii="Century Bash" w:hAnsi="Century Bash"/>
          <w:b/>
          <w:sz w:val="2"/>
          <w:szCs w:val="2"/>
        </w:rPr>
      </w:pPr>
    </w:p>
    <w:p w:rsidR="00781FCB" w:rsidRPr="004E1ACD" w:rsidRDefault="00781FCB" w:rsidP="00350923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</w:rPr>
        <w:t xml:space="preserve">   </w:t>
      </w:r>
      <w:r w:rsidRPr="004E1ACD">
        <w:rPr>
          <w:rFonts w:ascii="Century Bash" w:hAnsi="Century Bash"/>
          <w:b/>
          <w:lang w:val="en-US"/>
        </w:rPr>
        <w:t>KAPAP</w:t>
      </w:r>
      <w:r w:rsidRPr="004E1ACD">
        <w:rPr>
          <w:rFonts w:ascii="Century Bash" w:hAnsi="Century Bash"/>
          <w:b/>
        </w:rPr>
        <w:t xml:space="preserve">                                                                             РЕШЕНИЕ</w:t>
      </w:r>
    </w:p>
    <w:p w:rsidR="00781FCB" w:rsidRPr="00876F87" w:rsidRDefault="00781FCB" w:rsidP="00350923">
      <w:pPr>
        <w:rPr>
          <w:sz w:val="2"/>
          <w:szCs w:val="2"/>
        </w:rPr>
      </w:pPr>
      <w:r>
        <w:t xml:space="preserve">   </w:t>
      </w:r>
    </w:p>
    <w:p w:rsidR="00781FCB" w:rsidRPr="00876F87" w:rsidRDefault="00781FCB" w:rsidP="00350923">
      <w:r>
        <w:t xml:space="preserve">    </w:t>
      </w:r>
      <w:r w:rsidRPr="00876F87">
        <w:t>«____»____________20___й.          №  ______       «____»_____________20___ г.</w:t>
      </w: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о комиссии по соблюдению требований</w:t>
      </w: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служебному поведению муниципальных служащих сельского поселения Первомайский сельсовет муниципального района</w:t>
      </w: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Янаульский район Республики Башкортостан </w:t>
      </w: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урегулированию конфликта интересов</w:t>
      </w: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81FCB" w:rsidRDefault="00781FCB" w:rsidP="00DE2062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В соответствии с Федеральным законом от 25 декабря 2008 года № 273-ФЗ «О противодействии коррупции» и на основании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Федерации от 22.12.2015 года № 650 « О некоторых вопросах противодействия коррупции», Совет сельского поселения Первомайский сельсовет  муниципального района Янаульский район Республики Башкортостан решил:</w:t>
      </w:r>
    </w:p>
    <w:p w:rsidR="00781FCB" w:rsidRDefault="00781FCB" w:rsidP="00DC43BF">
      <w:pPr>
        <w:spacing w:line="240" w:lineRule="auto"/>
        <w:jc w:val="both"/>
      </w:pPr>
      <w:r w:rsidRPr="00DC43BF">
        <w:t>1. Утвердить прилагаемое Положение о комиссиях по соблюдению требований к служебному поведению муниципальных служащих сельского поселения Первомайский сельсовет  муниципального района Янаульский район Республики Башкортостан и урегулированию конфликта интересов.</w:t>
      </w:r>
    </w:p>
    <w:p w:rsidR="00781FCB" w:rsidRPr="00DC43BF" w:rsidRDefault="00781FCB" w:rsidP="00DC43BF">
      <w:pPr>
        <w:spacing w:line="240" w:lineRule="auto"/>
        <w:jc w:val="both"/>
      </w:pPr>
      <w:r>
        <w:t xml:space="preserve">2. </w:t>
      </w:r>
      <w:r w:rsidRPr="00DC43BF">
        <w:t>Решение Совета сельского поселения Первомайский сельсовет муниципального района Янаульский район Республики Башкортостан № 62 от 22 сентября 2010 года признать утратившим силу.</w:t>
      </w:r>
    </w:p>
    <w:p w:rsidR="00781FCB" w:rsidRPr="00DC43BF" w:rsidRDefault="00781FCB" w:rsidP="00DC43BF">
      <w:pPr>
        <w:jc w:val="both"/>
      </w:pPr>
      <w:r w:rsidRPr="00DC43BF">
        <w:t>3. Обнародовать настоящее решение 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РБ, Янаульский район, с. Сусады-Эбалак, пл. Комсомольская, д.2 и разместить на  сайте  сельского поселения Первомайский сельсовет муниципального района Янаульский район Республики Башкортостан по адресу: http:sppervomai.ru.</w:t>
      </w:r>
    </w:p>
    <w:p w:rsidR="00781FCB" w:rsidRPr="00DC43BF" w:rsidRDefault="00781FCB" w:rsidP="00DC43BF">
      <w:pPr>
        <w:jc w:val="both"/>
      </w:pPr>
      <w:r w:rsidRPr="00DC43BF">
        <w:t>4. 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вопросам.</w:t>
      </w:r>
    </w:p>
    <w:p w:rsidR="00781FCB" w:rsidRDefault="00781FCB" w:rsidP="00410655">
      <w:pPr>
        <w:spacing w:after="0" w:line="240" w:lineRule="auto"/>
        <w:jc w:val="both"/>
      </w:pPr>
    </w:p>
    <w:p w:rsidR="00781FCB" w:rsidRDefault="00781FCB" w:rsidP="00410655">
      <w:pPr>
        <w:spacing w:after="0" w:line="240" w:lineRule="auto"/>
        <w:jc w:val="both"/>
      </w:pPr>
      <w:r>
        <w:t>Глава</w:t>
      </w:r>
    </w:p>
    <w:p w:rsidR="00781FCB" w:rsidRDefault="00781FCB" w:rsidP="00410655">
      <w:pPr>
        <w:spacing w:after="0" w:line="240" w:lineRule="auto"/>
        <w:jc w:val="both"/>
      </w:pPr>
      <w:r>
        <w:t>сельского поселения                                                                        В. В. Зворыгин</w:t>
      </w:r>
    </w:p>
    <w:p w:rsidR="00781FCB" w:rsidRDefault="00781FCB" w:rsidP="00DE2062">
      <w:pPr>
        <w:pStyle w:val="ConsPlusTitle"/>
        <w:widowControl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781FCB" w:rsidRDefault="00781FCB" w:rsidP="00DE2062">
      <w:pPr>
        <w:pStyle w:val="ConsPlusTitle"/>
        <w:widowControl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 Совета</w:t>
      </w:r>
    </w:p>
    <w:p w:rsidR="00781FCB" w:rsidRDefault="00781FCB" w:rsidP="00DE2062">
      <w:pPr>
        <w:pStyle w:val="ConsPlusTitle"/>
        <w:widowControl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81FCB" w:rsidRDefault="00781FCB" w:rsidP="00DE2062">
      <w:pPr>
        <w:pStyle w:val="ConsPlusTitle"/>
        <w:widowControl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Первомайский сельсовет</w:t>
      </w:r>
    </w:p>
    <w:p w:rsidR="00781FCB" w:rsidRDefault="00781FCB" w:rsidP="00DE2062">
      <w:pPr>
        <w:pStyle w:val="ConsPlusTitle"/>
        <w:widowControl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781FCB" w:rsidRDefault="00781FCB" w:rsidP="00DE2062">
      <w:pPr>
        <w:pStyle w:val="ConsPlusTitle"/>
        <w:widowControl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Янаульский район</w:t>
      </w:r>
    </w:p>
    <w:p w:rsidR="00781FCB" w:rsidRDefault="00781FCB" w:rsidP="00DE2062">
      <w:pPr>
        <w:pStyle w:val="ConsPlusTitle"/>
        <w:widowControl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781FCB" w:rsidRDefault="00781FCB" w:rsidP="00DE2062">
      <w:pPr>
        <w:pStyle w:val="ConsPlusTitle"/>
        <w:widowControl/>
        <w:ind w:firstLine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_____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____</w:t>
      </w: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Положение</w:t>
      </w: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комиссии по соблюдению требований к служебному поведению</w:t>
      </w: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муниципальных служащих сельского поселения Первомайский сельсовет муниципального района Янаульский район  Республики Башкортостан </w:t>
      </w:r>
    </w:p>
    <w:p w:rsidR="00781FCB" w:rsidRDefault="00781FCB" w:rsidP="0041065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урегулированию конфликта интересов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>
        <w:rPr>
          <w:b/>
        </w:rPr>
        <w:t xml:space="preserve"> </w:t>
      </w:r>
      <w:r>
        <w:t xml:space="preserve">сельского поселения Первомайский сельсовет муниципального района Янаульский район Республики Башкортостан и урегулированию конфликта интересов (далее - комиссии, комиссия), образуемой в   сельском поселении Первомайский сельсовет муниципального района Янаульский район Республики Башкортостан, 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коррупции», от 2 марта 2007 года № 25-ФЗ «О муниципальной службе в Российской Федерации».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Президента Республики Башкортостан и Правительства Республики Башкортостан,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Основной задачей комиссии является содействие органам местного самоуправления: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в обеспечении соблюдения муниципальными служащими сельского поселения Первомайский сельсовет  муниципального района Янаульский район Республики Башкортостан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коррупции», другими федеральными и республиканскими законами (далее - требования к служебному поведению и (или) требования об урегулировании конфликта интересов);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 осуществлении в сельском поселении Первомайский сельсовет муниципального района Янаульский район Республики Башкортостан мер по предупреждению коррупции.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сельском поселении Первомайский сельсовет муниципального района Янаульский район Республики Башкортостан (далее должности муниципальной службы).  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Комиссия образуется постановлением администрации, и указанным актом утверждаются состав комиссии и порядок ее работы. 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В состав комиссии входят: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глава сельского поселения  (председатель комиссии), управляющий делами администрации (заместитель председателя), специалист администрации (секретарь комиссии), другие муниципальные служащие  администрации сельского поселения Первомайский сельсовет, определяемые главой администрации;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заместитель председателя Совета сельского поселения Первомайский сельсовет муниципального района Янаульский район Республики Башкортостан;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Глава администрации по согласованию может принять решение о включении в состав комиссии: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представителя общественной организации ветеранов, созданной на территории сельского поселения Первомайский сельсовет;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представителя профсоюзной организации, действующей в установленном порядке в органе местного самоуправления.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10. В заседаниях комиссии с правом совещательного голоса участвуют: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</w:t>
      </w:r>
      <w:r>
        <w:rPr>
          <w:bCs w:val="0"/>
        </w:rPr>
        <w:t xml:space="preserve">другие муниципальные служащие, замещающие должности муниципальной службы; </w:t>
      </w:r>
      <w:r>
        <w:t>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службы, недопустимо.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Основаниями для проведения заседания комиссии являются: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представление главой администрации, п</w:t>
      </w:r>
      <w:r>
        <w:rPr>
          <w:bCs w:val="0"/>
        </w:rPr>
        <w:t xml:space="preserve">ри установлении в ходе проверки обстоятельств, свидетельствующих о представлении муниципальным служащим по состоянию на конец отчетного периода недостоверных или неполных сведений, о доходах, об имуществе и обязательствах имущественного характера и </w:t>
      </w:r>
      <w:r>
        <w:t>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поступившее в орган местного самоуправления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81FCB" w:rsidRDefault="00781FCB" w:rsidP="00DE2062">
      <w:pPr>
        <w:spacing w:line="240" w:lineRule="auto"/>
        <w:jc w:val="both"/>
      </w:pPr>
      <w:r>
        <w:t xml:space="preserve">       г) </w:t>
      </w:r>
      <w:r w:rsidRPr="00403A7F"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РФ,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  <w:r>
        <w:t>.</w:t>
      </w:r>
    </w:p>
    <w:p w:rsidR="00781FCB" w:rsidRDefault="00781FCB" w:rsidP="00DE2062">
      <w:pPr>
        <w:spacing w:line="240" w:lineRule="auto"/>
        <w:ind w:firstLine="708"/>
        <w:jc w:val="both"/>
      </w:pPr>
      <w:r w:rsidRPr="00403A7F">
        <w:t>Обращение</w:t>
      </w:r>
      <w:r>
        <w:t xml:space="preserve"> </w:t>
      </w:r>
      <w:r w:rsidRPr="00403A7F">
        <w:t xml:space="preserve">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ст. 12 Федерального закона от 25.12.2008 № 273-ФЗ. 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r>
        <w:t>.</w:t>
      </w:r>
    </w:p>
    <w:p w:rsidR="00781FCB" w:rsidRPr="00403A7F" w:rsidRDefault="00781FCB" w:rsidP="00DE2062">
      <w:pPr>
        <w:spacing w:line="240" w:lineRule="auto"/>
        <w:ind w:firstLine="720"/>
        <w:jc w:val="both"/>
      </w:pPr>
      <w:r>
        <w:t>О</w:t>
      </w:r>
      <w:r w:rsidRPr="00403A7F">
        <w:t>бращение может быть подано государственным служащим, планирующим свое увольнение с государственной службы, и подлежит рассмотрению комиссией в соответствии с указанным Положением.</w:t>
      </w:r>
    </w:p>
    <w:p w:rsidR="00781FCB" w:rsidRDefault="00781FCB" w:rsidP="00410655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 xml:space="preserve">д) </w:t>
      </w:r>
      <w:r w:rsidRPr="00403A7F">
        <w:t xml:space="preserve">заявление государственного служащего о невозможности выполнить требования Федерального </w:t>
      </w:r>
      <w:hyperlink r:id="rId8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 w:rsidRPr="003D0559">
          <w:rPr>
            <w:rStyle w:val="Hyperlink"/>
          </w:rPr>
          <w:t>закона</w:t>
        </w:r>
      </w:hyperlink>
      <w:r w:rsidRPr="00403A7F">
        <w:t xml:space="preserve">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1FCB" w:rsidRDefault="00781FCB" w:rsidP="00410655">
      <w:pPr>
        <w:spacing w:line="240" w:lineRule="auto"/>
        <w:ind w:firstLine="720"/>
        <w:jc w:val="both"/>
      </w:pPr>
      <w:r>
        <w:t xml:space="preserve">е) </w:t>
      </w:r>
      <w:r w:rsidRPr="00403A7F">
        <w:t xml:space="preserve">поступившее в соответствии с </w:t>
      </w:r>
      <w:hyperlink r:id="rId9" w:tooltip="Федеральный закон от 25.12.2008 N 273-ФЗ (ред. от 22.12.2014) &quot;О противодействии коррупции&quot;{КонсультантПлюс}" w:history="1">
        <w:r w:rsidRPr="003D0559">
          <w:rPr>
            <w:rStyle w:val="Hyperlink"/>
          </w:rPr>
          <w:t>ч. 4 ст. 12</w:t>
        </w:r>
      </w:hyperlink>
      <w:r w:rsidRPr="003D0559">
        <w:t xml:space="preserve"> </w:t>
      </w:r>
      <w:r w:rsidRPr="00403A7F">
        <w:t>Федерального закона от 25.12.2008 № 273-ФЗ и ст. 64.1 ТК РФ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81FCB" w:rsidRDefault="00781FCB" w:rsidP="00DE2062">
      <w:pPr>
        <w:spacing w:line="240" w:lineRule="auto"/>
        <w:ind w:firstLine="708"/>
        <w:jc w:val="both"/>
      </w:pPr>
      <w:r>
        <w:t>ж) поступившие в подразделение кадровой службы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781FCB" w:rsidRDefault="00781FCB" w:rsidP="00DE2062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а) </w:t>
      </w:r>
      <w:r w:rsidRPr="00EF69A6">
        <w:t xml:space="preserve">в </w:t>
      </w:r>
      <w:r>
        <w:t>10</w:t>
      </w:r>
      <w:r w:rsidRPr="00EF69A6"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t>20</w:t>
      </w:r>
      <w:r w:rsidRPr="00EF69A6">
        <w:t xml:space="preserve"> дней со дня п</w:t>
      </w:r>
      <w:r>
        <w:t>оступления указанной информации. Д</w:t>
      </w:r>
      <w:r w:rsidRPr="00403A7F">
        <w:t xml:space="preserve">ата заседания комиссии может быть назначена позднее </w:t>
      </w:r>
      <w:r>
        <w:t>20</w:t>
      </w:r>
      <w:r w:rsidRPr="00403A7F">
        <w:t xml:space="preserve"> дней со дня поступления информации, за исключением случаев, предусмотренных </w:t>
      </w:r>
      <w:hyperlink w:anchor="Par137" w:tooltip="Ссылка на текущий документ" w:history="1">
        <w:r w:rsidRPr="003D0559">
          <w:rPr>
            <w:rStyle w:val="Hyperlink"/>
          </w:rPr>
          <w:t>пунктами 18.1</w:t>
        </w:r>
      </w:hyperlink>
      <w:r w:rsidRPr="00403A7F">
        <w:t xml:space="preserve"> и </w:t>
      </w:r>
      <w:hyperlink w:anchor="Par139" w:tooltip="Ссылка на текущий документ" w:history="1">
        <w:r w:rsidRPr="003D0559">
          <w:rPr>
            <w:rStyle w:val="Hyperlink"/>
          </w:rPr>
          <w:t>18.2</w:t>
        </w:r>
      </w:hyperlink>
      <w:r w:rsidRPr="00403A7F">
        <w:t xml:space="preserve"> Положения</w:t>
      </w:r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r w:rsidRPr="00EC1F0F">
        <w:t xml:space="preserve"> </w:t>
      </w:r>
      <w:r>
        <w:t>Указом Президента Российской Федерации от 01.07.2010 № 821 ( далее – Положение).</w:t>
      </w:r>
    </w:p>
    <w:p w:rsidR="00781FCB" w:rsidRDefault="00781FCB" w:rsidP="00B64BC8">
      <w:pPr>
        <w:spacing w:line="240" w:lineRule="auto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и с результатами ее проверки;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81FCB" w:rsidRDefault="00781FCB" w:rsidP="009A713D">
      <w:pPr>
        <w:spacing w:line="240" w:lineRule="auto"/>
        <w:jc w:val="both"/>
      </w:pPr>
      <w:r>
        <w:t xml:space="preserve">        16. Заседание комиссии проводится,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службы или гражданин должен указать в обращении, заявлении или уведомлении.</w:t>
      </w:r>
    </w:p>
    <w:p w:rsidR="00781FCB" w:rsidRDefault="00781FCB" w:rsidP="009A713D">
      <w:pPr>
        <w:spacing w:line="240" w:lineRule="auto"/>
        <w:ind w:firstLine="720"/>
        <w:jc w:val="both"/>
      </w:pPr>
      <w:r w:rsidRPr="00D25E85">
        <w:t xml:space="preserve"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</w:p>
    <w:p w:rsidR="00781FCB" w:rsidRPr="00403A7F" w:rsidRDefault="00781FCB" w:rsidP="009A713D">
      <w:pPr>
        <w:spacing w:line="240" w:lineRule="auto"/>
        <w:ind w:firstLine="720"/>
        <w:jc w:val="both"/>
      </w:pPr>
      <w:r>
        <w:t>З</w:t>
      </w:r>
      <w:r w:rsidRPr="00403A7F">
        <w:t xml:space="preserve">аседание комиссии по рассмотрению заявления, указанного в </w:t>
      </w:r>
      <w:hyperlink w:anchor="Par117" w:tooltip="Ссылка на текущий документ" w:history="1">
        <w:r w:rsidRPr="00651CA2">
          <w:rPr>
            <w:rStyle w:val="Hyperlink"/>
          </w:rPr>
          <w:t>абзаце третьем п.п. "б" п. 16</w:t>
        </w:r>
      </w:hyperlink>
      <w:r w:rsidRPr="00651CA2">
        <w:t xml:space="preserve"> </w:t>
      </w:r>
      <w:r w:rsidRPr="00403A7F">
        <w:t xml:space="preserve">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характера, а уведомление, указанное в </w:t>
      </w:r>
      <w:hyperlink w:anchor="Par123" w:tooltip="Ссылка на текущий документ" w:history="1">
        <w:r w:rsidRPr="00651CA2">
          <w:rPr>
            <w:rStyle w:val="Hyperlink"/>
          </w:rPr>
          <w:t>п.п. "д" п. 16</w:t>
        </w:r>
      </w:hyperlink>
      <w:r w:rsidRPr="00403A7F">
        <w:t xml:space="preserve"> Положения, как правило, рассматривается на очередном (плановом) заседании комиссии.</w:t>
      </w:r>
    </w:p>
    <w:p w:rsidR="00781FCB" w:rsidRDefault="00781FCB" w:rsidP="009A713D">
      <w:pPr>
        <w:spacing w:line="240" w:lineRule="auto"/>
        <w:ind w:firstLine="720"/>
        <w:jc w:val="both"/>
      </w:pPr>
      <w:r>
        <w:t>В</w:t>
      </w:r>
      <w:r w:rsidRPr="00403A7F">
        <w:t xml:space="preserve">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81FCB" w:rsidRDefault="00781FCB" w:rsidP="009A713D">
      <w:pPr>
        <w:spacing w:line="240" w:lineRule="auto"/>
        <w:ind w:firstLine="708"/>
        <w:jc w:val="both"/>
      </w:pPr>
      <w:r>
        <w:t xml:space="preserve">Заседания комиссии могут проводиться в отсутствие государственного служащего или гражданина в случае: </w:t>
      </w:r>
    </w:p>
    <w:p w:rsidR="00781FCB" w:rsidRDefault="00781FCB" w:rsidP="009A713D">
      <w:pPr>
        <w:spacing w:line="240" w:lineRule="auto"/>
        <w:jc w:val="both"/>
      </w:pPr>
      <w:r>
        <w:tab/>
        <w:t>а) если в обращении, заявлении или уведомлении, предусмотренных подпунктом «б» пункт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81FCB" w:rsidRDefault="00781FCB" w:rsidP="009A713D">
      <w:pPr>
        <w:spacing w:line="240" w:lineRule="auto"/>
        <w:ind w:firstLine="720"/>
        <w:jc w:val="both"/>
      </w:pPr>
      <w:r>
        <w:t>б) если  государственный служащий или гражданин, намереваются лично присутствовать на заседании комиссии и надлежащим образом извещенные о времени и месте его проведения, не являлись на заседание комиссии.</w:t>
      </w:r>
    </w:p>
    <w:p w:rsidR="00781FCB" w:rsidRDefault="00781FCB" w:rsidP="00410655">
      <w:pPr>
        <w:spacing w:line="240" w:lineRule="auto"/>
        <w:ind w:firstLine="720"/>
        <w:jc w:val="both"/>
      </w:pPr>
      <w: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  <w:r w:rsidRPr="00410655">
        <w:t xml:space="preserve"> </w:t>
      </w:r>
      <w:r>
        <w:t>П</w:t>
      </w:r>
      <w:r w:rsidRPr="00403A7F">
        <w:t>ояснения государственного служащего или гражданина, замещавшего должность государственной службы в государственном органе, заслушиваются на заседании комиссии с их согласия.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19. По итогам рассмотрения вопроса, </w:t>
      </w:r>
      <w:r>
        <w:rPr>
          <w:bCs w:val="0"/>
        </w:rPr>
        <w:t xml:space="preserve">о представлении  муниципальными служащими недостоверных или неполных сведений, о доходах, об имуществе и обязательствах имущественного характера </w:t>
      </w:r>
      <w:r>
        <w:t>комиссия принимает одно из следующих решений: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установить, что сведения, представленные являются достоверными и полными;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установить, что сведения,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81FCB" w:rsidRPr="00403A7F" w:rsidRDefault="00781FCB" w:rsidP="00DB145E">
      <w:pPr>
        <w:spacing w:line="240" w:lineRule="auto"/>
        <w:ind w:firstLine="720"/>
        <w:jc w:val="both"/>
      </w:pPr>
      <w:r>
        <w:t>П</w:t>
      </w:r>
      <w:r w:rsidRPr="00403A7F">
        <w:t xml:space="preserve">о итогам рассмотрения вопроса, указанного в </w:t>
      </w:r>
      <w:hyperlink w:anchor="Par121" w:tooltip="Ссылка на текущий документ" w:history="1">
        <w:r w:rsidRPr="00651CA2">
          <w:rPr>
            <w:rStyle w:val="Hyperlink"/>
          </w:rPr>
          <w:t>п.п. "г" п. 16</w:t>
        </w:r>
      </w:hyperlink>
      <w:r w:rsidRPr="00651CA2">
        <w:t xml:space="preserve"> </w:t>
      </w:r>
      <w:r w:rsidRPr="00403A7F">
        <w:t>Положения, комиссия может в том числе признать, что сведения, представленные государственным служащим в соответствии с ч. 1 ст. 3 Федерального закона от 07.05.2013 № 79-ФЗ,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81FCB" w:rsidRDefault="00781FCB" w:rsidP="00DB145E">
      <w:pPr>
        <w:spacing w:line="240" w:lineRule="auto"/>
        <w:ind w:firstLine="720"/>
        <w:jc w:val="both"/>
      </w:pPr>
      <w:r>
        <w:t>П</w:t>
      </w:r>
      <w:r w:rsidRPr="00403A7F">
        <w:t xml:space="preserve">о итогам рассмотрения вопроса, указанного в </w:t>
      </w:r>
      <w:hyperlink w:anchor="Par118" w:tooltip="Ссылка на текущий документ" w:history="1">
        <w:r w:rsidRPr="00651CA2">
          <w:rPr>
            <w:rStyle w:val="Hyperlink"/>
          </w:rPr>
          <w:t>абзаце четвертом п.п. "б" п. 16</w:t>
        </w:r>
      </w:hyperlink>
      <w:r w:rsidRPr="00651CA2">
        <w:t xml:space="preserve"> </w:t>
      </w:r>
      <w:r w:rsidRPr="00403A7F">
        <w:t>Положения, комиссия может, в том числе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По итогам рассмотрения вопроса о</w:t>
      </w:r>
      <w:r>
        <w:rPr>
          <w:bCs w:val="0"/>
        </w:rPr>
        <w:t xml:space="preserve"> </w:t>
      </w:r>
      <w:r>
        <w:t>несоблюдении муниципальным служащим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По итогам рассмотрения вопроса, указанного подпункта "б" пункта 13 настоящего Положения, комиссия принимает одно из следующих решений: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22.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20 - 22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23.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781FCB" w:rsidRPr="00403A7F" w:rsidRDefault="00781FCB" w:rsidP="00DB145E">
      <w:pPr>
        <w:spacing w:line="240" w:lineRule="auto"/>
        <w:ind w:firstLine="720"/>
        <w:jc w:val="both"/>
      </w:pPr>
      <w:r>
        <w:t>П</w:t>
      </w:r>
      <w:r w:rsidRPr="00403A7F">
        <w:t xml:space="preserve">о итогам рассмотрения вопроса, указанного в </w:t>
      </w:r>
      <w:hyperlink w:anchor="Par123" w:tooltip="Ссылка на текущий документ" w:history="1">
        <w:r w:rsidRPr="00651CA2">
          <w:rPr>
            <w:rStyle w:val="Hyperlink"/>
          </w:rPr>
          <w:t>п.п. "д" п. 16</w:t>
        </w:r>
      </w:hyperlink>
      <w:r w:rsidRPr="00651CA2">
        <w:t xml:space="preserve"> </w:t>
      </w:r>
      <w:r w:rsidRPr="00403A7F">
        <w:t>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81FCB" w:rsidRPr="00403A7F" w:rsidRDefault="00781FCB" w:rsidP="00DB145E">
      <w:pPr>
        <w:spacing w:line="240" w:lineRule="auto"/>
        <w:ind w:firstLine="720"/>
        <w:jc w:val="both"/>
      </w:pPr>
      <w:r w:rsidRPr="00403A7F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81FCB" w:rsidRPr="00403A7F" w:rsidRDefault="00781FCB" w:rsidP="00DB145E">
      <w:pPr>
        <w:spacing w:line="240" w:lineRule="auto"/>
        <w:ind w:firstLine="720"/>
        <w:jc w:val="both"/>
      </w:pPr>
      <w:r w:rsidRPr="00403A7F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" w:tooltip="Федеральный закон от 25.12.2008 N 273-ФЗ (ред. от 22.12.2014) &quot;О противодействии коррупции&quot;{КонсультантПлюс}" w:history="1">
        <w:r w:rsidRPr="00651CA2">
          <w:rPr>
            <w:rStyle w:val="Hyperlink"/>
          </w:rPr>
          <w:t>ст. 12</w:t>
        </w:r>
      </w:hyperlink>
      <w:r w:rsidRPr="00403A7F">
        <w:t xml:space="preserve"> Федерального закона от 25.12.2008 № 273-ФЗ.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FCB" w:rsidRPr="0080617F" w:rsidRDefault="00781FCB" w:rsidP="0080617F">
      <w:pPr>
        <w:spacing w:after="0" w:line="240" w:lineRule="auto"/>
        <w:ind w:firstLine="547"/>
        <w:jc w:val="both"/>
        <w:rPr>
          <w:bCs w:val="0"/>
          <w:lang w:eastAsia="ru-RU"/>
        </w:rPr>
      </w:pPr>
      <w:r w:rsidRPr="0080617F">
        <w:rPr>
          <w:bCs w:val="0"/>
          <w:lang w:eastAsia="ru-RU"/>
        </w:rPr>
        <w:t xml:space="preserve">24. По итогам рассмотрения вопроса, указанного в </w:t>
      </w:r>
      <w:r w:rsidRPr="0080617F">
        <w:rPr>
          <w:bCs w:val="0"/>
          <w:color w:val="0000FF"/>
          <w:u w:val="single"/>
          <w:lang w:eastAsia="ru-RU"/>
        </w:rPr>
        <w:t>абзаце четвертом подпункта "б" пункта 16</w:t>
      </w:r>
      <w:r w:rsidRPr="0080617F">
        <w:rPr>
          <w:bCs w:val="0"/>
          <w:lang w:eastAsia="ru-RU"/>
        </w:rPr>
        <w:t xml:space="preserve">  Положения, комиссия принимает одно из следующих решений:</w:t>
      </w:r>
    </w:p>
    <w:p w:rsidR="00781FCB" w:rsidRPr="0080617F" w:rsidRDefault="00781FCB" w:rsidP="0080617F">
      <w:pPr>
        <w:spacing w:after="0" w:line="240" w:lineRule="auto"/>
        <w:ind w:firstLine="547"/>
        <w:jc w:val="both"/>
        <w:rPr>
          <w:bCs w:val="0"/>
          <w:lang w:eastAsia="ru-RU"/>
        </w:rPr>
      </w:pPr>
      <w:r w:rsidRPr="0080617F">
        <w:rPr>
          <w:bCs w:val="0"/>
          <w:lang w:eastAsia="ru-RU"/>
        </w:rPr>
        <w:t xml:space="preserve">а) признать, что обстоятельства, препятствующие выполнению требований Федерального </w:t>
      </w:r>
      <w:r w:rsidRPr="0080617F">
        <w:rPr>
          <w:bCs w:val="0"/>
          <w:color w:val="0000FF"/>
          <w:u w:val="single"/>
          <w:lang w:eastAsia="ru-RU"/>
        </w:rPr>
        <w:t>закона</w:t>
      </w:r>
      <w:r w:rsidRPr="0080617F">
        <w:rPr>
          <w:bCs w:val="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81FCB" w:rsidRPr="0080617F" w:rsidRDefault="00781FCB" w:rsidP="0080617F">
      <w:pPr>
        <w:spacing w:after="0" w:line="240" w:lineRule="auto"/>
        <w:ind w:firstLine="547"/>
        <w:jc w:val="both"/>
        <w:rPr>
          <w:bCs w:val="0"/>
          <w:lang w:eastAsia="ru-RU"/>
        </w:rPr>
      </w:pPr>
      <w:r w:rsidRPr="0080617F">
        <w:rPr>
          <w:bCs w:val="0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80617F">
        <w:rPr>
          <w:bCs w:val="0"/>
          <w:color w:val="0000FF"/>
          <w:u w:val="single"/>
          <w:lang w:eastAsia="ru-RU"/>
        </w:rPr>
        <w:t>закона</w:t>
      </w:r>
      <w:r w:rsidRPr="0080617F">
        <w:rPr>
          <w:bCs w:val="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81FCB" w:rsidRPr="0080617F" w:rsidRDefault="00781FCB" w:rsidP="0080617F">
      <w:pPr>
        <w:spacing w:after="0" w:line="240" w:lineRule="auto"/>
        <w:ind w:firstLine="547"/>
        <w:jc w:val="both"/>
        <w:rPr>
          <w:bCs w:val="0"/>
          <w:lang w:eastAsia="ru-RU"/>
        </w:rPr>
      </w:pPr>
      <w:r w:rsidRPr="0080617F">
        <w:rPr>
          <w:bCs w:val="0"/>
          <w:lang w:eastAsia="ru-RU"/>
        </w:rPr>
        <w:t xml:space="preserve">25. По итогам рассмотрения вопроса, указанного в </w:t>
      </w:r>
      <w:r w:rsidRPr="0080617F">
        <w:rPr>
          <w:bCs w:val="0"/>
          <w:color w:val="0000FF"/>
          <w:u w:val="single"/>
          <w:lang w:eastAsia="ru-RU"/>
        </w:rPr>
        <w:t>абзаце пятом подпункта "б" пункта 16</w:t>
      </w:r>
      <w:r w:rsidRPr="0080617F">
        <w:rPr>
          <w:bCs w:val="0"/>
          <w:lang w:eastAsia="ru-RU"/>
        </w:rPr>
        <w:t xml:space="preserve">  Положения, комиссия принимает одно из следующих решений:</w:t>
      </w:r>
    </w:p>
    <w:p w:rsidR="00781FCB" w:rsidRPr="0080617F" w:rsidRDefault="00781FCB" w:rsidP="0080617F">
      <w:pPr>
        <w:spacing w:after="0" w:line="240" w:lineRule="auto"/>
        <w:ind w:firstLine="547"/>
        <w:jc w:val="both"/>
        <w:rPr>
          <w:bCs w:val="0"/>
          <w:lang w:eastAsia="ru-RU"/>
        </w:rPr>
      </w:pPr>
      <w:r w:rsidRPr="0080617F">
        <w:rPr>
          <w:bCs w:val="0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81FCB" w:rsidRPr="0080617F" w:rsidRDefault="00781FCB" w:rsidP="0080617F">
      <w:pPr>
        <w:spacing w:after="0" w:line="240" w:lineRule="auto"/>
        <w:ind w:firstLine="547"/>
        <w:jc w:val="both"/>
        <w:rPr>
          <w:bCs w:val="0"/>
          <w:lang w:eastAsia="ru-RU"/>
        </w:rPr>
      </w:pPr>
      <w:r w:rsidRPr="0080617F">
        <w:rPr>
          <w:bCs w:val="0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81FCB" w:rsidRPr="0080617F" w:rsidRDefault="00781FCB" w:rsidP="0080617F">
      <w:pPr>
        <w:spacing w:after="0" w:line="240" w:lineRule="auto"/>
        <w:ind w:firstLine="547"/>
        <w:jc w:val="both"/>
        <w:rPr>
          <w:bCs w:val="0"/>
          <w:lang w:eastAsia="ru-RU"/>
        </w:rPr>
      </w:pPr>
      <w:r w:rsidRPr="0080617F">
        <w:rPr>
          <w:bCs w:val="0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27.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29. В протоколе заседания комиссии указываются: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другие сведения;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з) результаты голосования;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и) решение и обоснование его принятия.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31.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1FCB" w:rsidRDefault="00781FCB" w:rsidP="00DE2062">
      <w:pPr>
        <w:spacing w:line="240" w:lineRule="auto"/>
        <w:ind w:firstLine="720"/>
        <w:jc w:val="both"/>
      </w:pPr>
      <w:r>
        <w:t>В</w:t>
      </w:r>
      <w:r w:rsidRPr="00403A7F">
        <w:t xml:space="preserve">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tooltip="Ссылка на текущий документ" w:history="1">
        <w:r w:rsidRPr="00651CA2">
          <w:rPr>
            <w:rStyle w:val="Hyperlink"/>
          </w:rPr>
          <w:t>абзаце втором п.п. "б" п. 16</w:t>
        </w:r>
      </w:hyperlink>
      <w:r w:rsidRPr="00651CA2">
        <w:t xml:space="preserve"> </w:t>
      </w:r>
      <w:r w:rsidRPr="00403A7F">
        <w:t>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81FCB" w:rsidRDefault="00781FCB" w:rsidP="00DE2062">
      <w:pPr>
        <w:spacing w:line="240" w:lineRule="auto"/>
        <w:jc w:val="both"/>
      </w:pPr>
      <w:r>
        <w:t xml:space="preserve">        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управляющим делами администрации. </w:t>
      </w: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FCB" w:rsidRDefault="00781FCB" w:rsidP="0041065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FCB" w:rsidRDefault="00781FCB" w:rsidP="0080617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Управляющий  делами</w:t>
      </w:r>
      <w:r>
        <w:tab/>
      </w:r>
      <w:r>
        <w:tab/>
      </w:r>
      <w:r>
        <w:tab/>
      </w:r>
      <w:r>
        <w:tab/>
      </w:r>
      <w:r>
        <w:tab/>
        <w:t>А. И. Изибаева</w:t>
      </w:r>
    </w:p>
    <w:p w:rsidR="00781FCB" w:rsidRDefault="00781FCB"/>
    <w:sectPr w:rsidR="00781FCB" w:rsidSect="00350923"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CB" w:rsidRDefault="00781FCB">
      <w:r>
        <w:separator/>
      </w:r>
    </w:p>
  </w:endnote>
  <w:endnote w:type="continuationSeparator" w:id="0">
    <w:p w:rsidR="00781FCB" w:rsidRDefault="0078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CB" w:rsidRDefault="00781FCB" w:rsidP="00DE2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FCB" w:rsidRDefault="0078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CB" w:rsidRDefault="00781FCB" w:rsidP="00DE2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1FCB" w:rsidRDefault="0078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CB" w:rsidRDefault="00781FCB">
      <w:r>
        <w:separator/>
      </w:r>
    </w:p>
  </w:footnote>
  <w:footnote w:type="continuationSeparator" w:id="0">
    <w:p w:rsidR="00781FCB" w:rsidRDefault="0078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81D"/>
    <w:multiLevelType w:val="hybridMultilevel"/>
    <w:tmpl w:val="3C40AEE6"/>
    <w:lvl w:ilvl="0" w:tplc="926478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655"/>
    <w:rsid w:val="001F32C4"/>
    <w:rsid w:val="00350923"/>
    <w:rsid w:val="003D0559"/>
    <w:rsid w:val="00403A7F"/>
    <w:rsid w:val="00410655"/>
    <w:rsid w:val="004E1ACD"/>
    <w:rsid w:val="00651CA2"/>
    <w:rsid w:val="00677197"/>
    <w:rsid w:val="00763690"/>
    <w:rsid w:val="00781FCB"/>
    <w:rsid w:val="0080617F"/>
    <w:rsid w:val="00876F87"/>
    <w:rsid w:val="009A713D"/>
    <w:rsid w:val="00A17BA0"/>
    <w:rsid w:val="00B64BC8"/>
    <w:rsid w:val="00D25E85"/>
    <w:rsid w:val="00DB145E"/>
    <w:rsid w:val="00DC43BF"/>
    <w:rsid w:val="00DE2062"/>
    <w:rsid w:val="00EB6882"/>
    <w:rsid w:val="00EC1F0F"/>
    <w:rsid w:val="00EF69A6"/>
    <w:rsid w:val="00F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55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DefaultParagraphFont">
    <w:name w:val="Default Paragraph Font"/>
    <w:aliases w:val="Знак Знак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0655"/>
    <w:pPr>
      <w:widowControl w:val="0"/>
      <w:autoSpaceDE w:val="0"/>
      <w:autoSpaceDN w:val="0"/>
      <w:adjustRightInd w:val="0"/>
    </w:pPr>
    <w:rPr>
      <w:rFonts w:ascii="Calibri" w:hAnsi="Calibri" w:cs="Calibri"/>
      <w:b/>
      <w:sz w:val="28"/>
      <w:szCs w:val="28"/>
    </w:rPr>
  </w:style>
  <w:style w:type="paragraph" w:customStyle="1" w:styleId="a">
    <w:name w:val="Знак"/>
    <w:basedOn w:val="Normal"/>
    <w:uiPriority w:val="99"/>
    <w:rsid w:val="00410655"/>
    <w:pPr>
      <w:spacing w:after="0" w:line="240" w:lineRule="auto"/>
    </w:pPr>
    <w:rPr>
      <w:bCs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10655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410655"/>
    <w:pPr>
      <w:spacing w:after="160" w:line="240" w:lineRule="exact"/>
    </w:pPr>
    <w:rPr>
      <w:rFonts w:ascii="Calibri" w:hAnsi="Calibri"/>
      <w:bCs w:val="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E20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9A6"/>
    <w:rPr>
      <w:bCs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DE206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50923"/>
    <w:pPr>
      <w:spacing w:after="0" w:line="240" w:lineRule="auto"/>
    </w:pPr>
    <w:rPr>
      <w:bCs w:val="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0923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43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A1C6340C7CF69E27255631C7B9AE769E23AAABB88FAEFAB5BF77205B20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AA1C6340C7CF69E27255631C7B9AE769E23AAABA89FAEFAB5BF772052CB801F759392DBC0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A1C6340C7CF69E27255631C7B9AE769E23AAABA89FAEFAB5BF772052CB801F759392CBC0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4506</Words>
  <Characters>25687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Первомай</cp:lastModifiedBy>
  <cp:revision>2</cp:revision>
  <cp:lastPrinted>2016-05-24T03:03:00Z</cp:lastPrinted>
  <dcterms:created xsi:type="dcterms:W3CDTF">2016-06-01T06:05:00Z</dcterms:created>
  <dcterms:modified xsi:type="dcterms:W3CDTF">2016-06-01T06:05:00Z</dcterms:modified>
</cp:coreProperties>
</file>